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DD1B" w14:textId="77777777" w:rsidR="00A60C30" w:rsidRDefault="00A60C30" w:rsidP="00026E42">
      <w:pPr>
        <w:jc w:val="center"/>
        <w:rPr>
          <w:b/>
          <w:bCs/>
          <w:sz w:val="28"/>
          <w:szCs w:val="28"/>
          <w:u w:val="single"/>
        </w:rPr>
      </w:pPr>
    </w:p>
    <w:p w14:paraId="1894E51A" w14:textId="1E103D90" w:rsidR="00D4360A" w:rsidRDefault="00D4360A" w:rsidP="00026E42">
      <w:pPr>
        <w:jc w:val="center"/>
        <w:rPr>
          <w:b/>
          <w:bCs/>
          <w:sz w:val="28"/>
          <w:szCs w:val="28"/>
          <w:u w:val="single"/>
        </w:rPr>
      </w:pPr>
      <w:bookmarkStart w:id="0" w:name="_Hlk63773641"/>
      <w:r w:rsidRPr="00026E42">
        <w:rPr>
          <w:b/>
          <w:bCs/>
          <w:sz w:val="28"/>
          <w:szCs w:val="28"/>
          <w:u w:val="single"/>
        </w:rPr>
        <w:t>Spanish Qualifying Test</w:t>
      </w:r>
    </w:p>
    <w:p w14:paraId="70166E3D" w14:textId="77777777" w:rsidR="00A60C30" w:rsidRPr="00026E42" w:rsidRDefault="00A60C30" w:rsidP="00026E42">
      <w:pPr>
        <w:jc w:val="center"/>
        <w:rPr>
          <w:b/>
          <w:bCs/>
          <w:sz w:val="28"/>
          <w:szCs w:val="28"/>
          <w:u w:val="single"/>
        </w:rPr>
      </w:pPr>
    </w:p>
    <w:p w14:paraId="7C4D0E11" w14:textId="290DD174" w:rsidR="00D4360A" w:rsidRDefault="00D4360A" w:rsidP="00026E42">
      <w:pPr>
        <w:pStyle w:val="ListParagraph"/>
        <w:numPr>
          <w:ilvl w:val="0"/>
          <w:numId w:val="1"/>
        </w:numPr>
        <w:rPr>
          <w:sz w:val="24"/>
          <w:szCs w:val="24"/>
        </w:rPr>
      </w:pPr>
      <w:r w:rsidRPr="00026E42">
        <w:rPr>
          <w:b/>
          <w:bCs/>
          <w:sz w:val="24"/>
          <w:szCs w:val="24"/>
        </w:rPr>
        <w:t>Translation Part</w:t>
      </w:r>
      <w:r w:rsidR="005665C2">
        <w:rPr>
          <w:b/>
          <w:bCs/>
          <w:sz w:val="24"/>
          <w:szCs w:val="24"/>
        </w:rPr>
        <w:t xml:space="preserve"> I</w:t>
      </w:r>
      <w:r w:rsidRPr="00026E42">
        <w:rPr>
          <w:b/>
          <w:bCs/>
          <w:sz w:val="24"/>
          <w:szCs w:val="24"/>
        </w:rPr>
        <w:t xml:space="preserve">: </w:t>
      </w:r>
      <w:r w:rsidRPr="00026E42">
        <w:rPr>
          <w:sz w:val="24"/>
          <w:szCs w:val="24"/>
        </w:rPr>
        <w:t>Please translate the following into Spanish</w:t>
      </w:r>
      <w:r w:rsidR="005C13CF" w:rsidRPr="00026E42">
        <w:rPr>
          <w:sz w:val="24"/>
          <w:szCs w:val="24"/>
        </w:rPr>
        <w:t>.</w:t>
      </w:r>
    </w:p>
    <w:p w14:paraId="0FC7A99B" w14:textId="77777777" w:rsidR="00A60C30" w:rsidRDefault="00A60C30" w:rsidP="00A60C30">
      <w:pPr>
        <w:pStyle w:val="ListParagraph"/>
        <w:rPr>
          <w:sz w:val="24"/>
          <w:szCs w:val="24"/>
        </w:rPr>
      </w:pPr>
    </w:p>
    <w:tbl>
      <w:tblPr>
        <w:tblStyle w:val="TableGrid"/>
        <w:tblW w:w="0" w:type="auto"/>
        <w:tblLook w:val="04A0" w:firstRow="1" w:lastRow="0" w:firstColumn="1" w:lastColumn="0" w:noHBand="0" w:noVBand="1"/>
      </w:tblPr>
      <w:tblGrid>
        <w:gridCol w:w="4675"/>
        <w:gridCol w:w="5670"/>
      </w:tblGrid>
      <w:tr w:rsidR="00026E42" w:rsidRPr="008A5941" w14:paraId="0E3D65B1" w14:textId="77777777" w:rsidTr="007929DD">
        <w:tc>
          <w:tcPr>
            <w:tcW w:w="4675" w:type="dxa"/>
            <w:shd w:val="clear" w:color="auto" w:fill="C5E0B3" w:themeFill="accent6" w:themeFillTint="66"/>
          </w:tcPr>
          <w:p w14:paraId="7DF1B1ED" w14:textId="3E24EEA0" w:rsidR="00026E42" w:rsidRPr="008A5941" w:rsidRDefault="00026E42" w:rsidP="005C13CF">
            <w:pPr>
              <w:rPr>
                <w:b/>
                <w:bCs/>
                <w:sz w:val="24"/>
                <w:szCs w:val="24"/>
                <w:lang w:val="es-419"/>
              </w:rPr>
            </w:pPr>
            <w:bookmarkStart w:id="1" w:name="_Hlk63767192"/>
            <w:r w:rsidRPr="008A5941">
              <w:rPr>
                <w:b/>
                <w:bCs/>
                <w:sz w:val="24"/>
                <w:szCs w:val="24"/>
                <w:lang w:val="es-419"/>
              </w:rPr>
              <w:t>English Text</w:t>
            </w:r>
          </w:p>
        </w:tc>
        <w:tc>
          <w:tcPr>
            <w:tcW w:w="5670" w:type="dxa"/>
            <w:shd w:val="clear" w:color="auto" w:fill="C5E0B3" w:themeFill="accent6" w:themeFillTint="66"/>
          </w:tcPr>
          <w:p w14:paraId="3C43C084" w14:textId="67ABC64A" w:rsidR="00026E42" w:rsidRPr="008A5941" w:rsidRDefault="00026E42" w:rsidP="005C13CF">
            <w:pPr>
              <w:rPr>
                <w:b/>
                <w:bCs/>
                <w:sz w:val="24"/>
                <w:szCs w:val="24"/>
                <w:lang w:val="es-419"/>
              </w:rPr>
            </w:pPr>
            <w:r w:rsidRPr="008A5941">
              <w:rPr>
                <w:b/>
                <w:bCs/>
                <w:sz w:val="24"/>
                <w:szCs w:val="24"/>
                <w:lang w:val="es-419"/>
              </w:rPr>
              <w:t>Your Translation</w:t>
            </w:r>
          </w:p>
        </w:tc>
      </w:tr>
      <w:tr w:rsidR="00026E42" w14:paraId="57C02912" w14:textId="77777777" w:rsidTr="008A5941">
        <w:tc>
          <w:tcPr>
            <w:tcW w:w="4675" w:type="dxa"/>
          </w:tcPr>
          <w:p w14:paraId="5C142D31" w14:textId="77777777" w:rsidR="00A60C30" w:rsidRDefault="00A60C30" w:rsidP="00026E42"/>
          <w:p w14:paraId="04C35D90" w14:textId="27900B74" w:rsidR="00026E42" w:rsidRDefault="00026E42" w:rsidP="00026E42">
            <w:r>
              <w:t>Dear Jewell Parents,</w:t>
            </w:r>
          </w:p>
          <w:p w14:paraId="55E92072" w14:textId="77777777" w:rsidR="00026E42" w:rsidRDefault="00026E42" w:rsidP="00026E42"/>
          <w:p w14:paraId="6B8EAC06" w14:textId="77777777" w:rsidR="00026E42" w:rsidRDefault="00026E42" w:rsidP="00026E42">
            <w:r>
              <w:t>As we head into the winter holiday season, I want to again thank you for your patience.  I know this year has been challenging, to say the least.  But these challenges offer all of us opportunities for growth in our lives.  Times are hard right now, for everyone, and when times are hard, that is when the Jewell community truly shines!</w:t>
            </w:r>
          </w:p>
          <w:p w14:paraId="5B6A509F" w14:textId="77777777" w:rsidR="00026E42" w:rsidRDefault="00026E42" w:rsidP="00026E42"/>
          <w:p w14:paraId="18A3DA14" w14:textId="21D52184" w:rsidR="00026E42" w:rsidRDefault="00026E42" w:rsidP="00026E42">
            <w:r>
              <w:t>Right now, we have our annual Giving Tree going on.  Although COVID has required us to do it a little differently this year, we are still doing it.  We have numerous families who are going through incredibly challenging times, and if there is any way you can give back, even just a little, you can be a huge blessing to them.</w:t>
            </w:r>
          </w:p>
          <w:p w14:paraId="08738AB7" w14:textId="539D4614" w:rsidR="007929DD" w:rsidRDefault="007929DD" w:rsidP="00026E42"/>
          <w:p w14:paraId="53963E90" w14:textId="5D46A349" w:rsidR="007929DD" w:rsidRDefault="007929DD" w:rsidP="00026E42">
            <w:r>
              <w:t xml:space="preserve">Our tree will be by our front doors every </w:t>
            </w:r>
            <w:r w:rsidR="005665C2">
              <w:t>weekday</w:t>
            </w:r>
            <w:r>
              <w:t xml:space="preserve"> from Friday, Dec. 11</w:t>
            </w:r>
            <w:r w:rsidRPr="0054178A">
              <w:rPr>
                <w:vertAlign w:val="superscript"/>
              </w:rPr>
              <w:t>th</w:t>
            </w:r>
            <w:r>
              <w:t xml:space="preserve"> through Friday, Dec. 18</w:t>
            </w:r>
            <w:r w:rsidRPr="0054178A">
              <w:rPr>
                <w:vertAlign w:val="superscript"/>
              </w:rPr>
              <w:t>th</w:t>
            </w:r>
            <w:r>
              <w:t>.  The box that you can place your donated gift cards in will be in the breezeway area between the first and second set of front doors.  If you have other donations besides a gift card, there will be a bin for those as well.</w:t>
            </w:r>
          </w:p>
          <w:p w14:paraId="60F1DD79" w14:textId="77777777" w:rsidR="00026E42" w:rsidRDefault="00026E42" w:rsidP="00026E42"/>
          <w:p w14:paraId="39CA4B3E" w14:textId="77777777" w:rsidR="00026E42" w:rsidRDefault="00026E42" w:rsidP="00026E42">
            <w:r>
              <w:t>Scott Edmondson</w:t>
            </w:r>
          </w:p>
          <w:p w14:paraId="20B54CA9" w14:textId="77777777" w:rsidR="00026E42" w:rsidRDefault="00026E42" w:rsidP="00026E42">
            <w:r>
              <w:t>Principal</w:t>
            </w:r>
          </w:p>
          <w:p w14:paraId="36EB0F11" w14:textId="77777777" w:rsidR="00A60C30" w:rsidRDefault="00026E42" w:rsidP="00026E42">
            <w:r>
              <w:t>R.E. Jewell Elementary</w:t>
            </w:r>
          </w:p>
          <w:p w14:paraId="5B98071C" w14:textId="0D1698A8" w:rsidR="00A60C30" w:rsidRPr="00A60C30" w:rsidRDefault="00A60C30" w:rsidP="00026E42"/>
        </w:tc>
        <w:tc>
          <w:tcPr>
            <w:tcW w:w="5670" w:type="dxa"/>
          </w:tcPr>
          <w:p w14:paraId="7255919D" w14:textId="77777777" w:rsidR="00026E42" w:rsidRDefault="00026E42" w:rsidP="005C13CF">
            <w:pPr>
              <w:rPr>
                <w:lang w:val="es-419"/>
              </w:rPr>
            </w:pPr>
          </w:p>
        </w:tc>
      </w:tr>
      <w:bookmarkEnd w:id="1"/>
    </w:tbl>
    <w:p w14:paraId="60275879" w14:textId="72ADD531" w:rsidR="00A60C30" w:rsidRDefault="00A60C30" w:rsidP="005C13CF">
      <w:pPr>
        <w:rPr>
          <w:lang w:val="es-419"/>
        </w:rPr>
      </w:pPr>
    </w:p>
    <w:p w14:paraId="669CBF99" w14:textId="4DE05B35" w:rsidR="00A60C30" w:rsidRDefault="00A60C30">
      <w:pPr>
        <w:rPr>
          <w:b/>
          <w:bCs/>
          <w:sz w:val="24"/>
          <w:szCs w:val="24"/>
          <w:lang w:val="es-419"/>
        </w:rPr>
      </w:pPr>
    </w:p>
    <w:p w14:paraId="02D17895" w14:textId="1885F736" w:rsidR="007929DD" w:rsidRPr="005665C2" w:rsidRDefault="005665C2" w:rsidP="00A60C30">
      <w:pPr>
        <w:pStyle w:val="ListParagraph"/>
        <w:numPr>
          <w:ilvl w:val="0"/>
          <w:numId w:val="1"/>
        </w:numPr>
        <w:rPr>
          <w:sz w:val="24"/>
          <w:szCs w:val="24"/>
        </w:rPr>
      </w:pPr>
      <w:bookmarkStart w:id="2" w:name="_Hlk63923974"/>
      <w:bookmarkStart w:id="3" w:name="_Hlk63923950"/>
      <w:r w:rsidRPr="00026E42">
        <w:rPr>
          <w:b/>
          <w:bCs/>
          <w:sz w:val="24"/>
          <w:szCs w:val="24"/>
        </w:rPr>
        <w:t>Translation Part</w:t>
      </w:r>
      <w:r>
        <w:rPr>
          <w:b/>
          <w:bCs/>
          <w:sz w:val="24"/>
          <w:szCs w:val="24"/>
        </w:rPr>
        <w:t xml:space="preserve"> II</w:t>
      </w:r>
      <w:r w:rsidRPr="00026E42">
        <w:rPr>
          <w:b/>
          <w:bCs/>
          <w:sz w:val="24"/>
          <w:szCs w:val="24"/>
        </w:rPr>
        <w:t>:</w:t>
      </w:r>
      <w:r>
        <w:rPr>
          <w:b/>
          <w:bCs/>
          <w:sz w:val="24"/>
          <w:szCs w:val="24"/>
        </w:rPr>
        <w:t xml:space="preserve"> </w:t>
      </w:r>
      <w:bookmarkStart w:id="4" w:name="_Hlk63924004"/>
      <w:r w:rsidR="007929DD" w:rsidRPr="005665C2">
        <w:rPr>
          <w:sz w:val="24"/>
          <w:szCs w:val="24"/>
        </w:rPr>
        <w:t xml:space="preserve">Provide </w:t>
      </w:r>
      <w:r w:rsidRPr="005665C2">
        <w:rPr>
          <w:sz w:val="24"/>
          <w:szCs w:val="24"/>
        </w:rPr>
        <w:t xml:space="preserve">a translation and at least 2 synonyms and </w:t>
      </w:r>
      <w:r w:rsidR="00F65493">
        <w:rPr>
          <w:sz w:val="24"/>
          <w:szCs w:val="24"/>
        </w:rPr>
        <w:t>2</w:t>
      </w:r>
      <w:r w:rsidR="002A60E2">
        <w:rPr>
          <w:sz w:val="24"/>
          <w:szCs w:val="24"/>
        </w:rPr>
        <w:t xml:space="preserve"> </w:t>
      </w:r>
      <w:bookmarkStart w:id="5" w:name="_GoBack"/>
      <w:bookmarkEnd w:id="5"/>
      <w:r w:rsidRPr="005665C2">
        <w:rPr>
          <w:sz w:val="24"/>
          <w:szCs w:val="24"/>
        </w:rPr>
        <w:t>antonyms for the following terms</w:t>
      </w:r>
      <w:bookmarkEnd w:id="4"/>
      <w:r w:rsidRPr="005665C2">
        <w:rPr>
          <w:sz w:val="24"/>
          <w:szCs w:val="24"/>
        </w:rPr>
        <w:t>:</w:t>
      </w:r>
    </w:p>
    <w:tbl>
      <w:tblPr>
        <w:tblStyle w:val="TableGrid"/>
        <w:tblW w:w="0" w:type="auto"/>
        <w:tblLook w:val="04A0" w:firstRow="1" w:lastRow="0" w:firstColumn="1" w:lastColumn="0" w:noHBand="0" w:noVBand="1"/>
      </w:tblPr>
      <w:tblGrid>
        <w:gridCol w:w="1705"/>
        <w:gridCol w:w="3330"/>
        <w:gridCol w:w="3510"/>
        <w:gridCol w:w="3425"/>
      </w:tblGrid>
      <w:tr w:rsidR="005665C2" w:rsidRPr="005665C2" w14:paraId="35A105FC" w14:textId="77777777" w:rsidTr="005665C2">
        <w:tc>
          <w:tcPr>
            <w:tcW w:w="1705" w:type="dxa"/>
            <w:shd w:val="clear" w:color="auto" w:fill="C5E0B3" w:themeFill="accent6" w:themeFillTint="66"/>
          </w:tcPr>
          <w:p w14:paraId="673E3BD1" w14:textId="238BE155" w:rsidR="005665C2" w:rsidRPr="005665C2" w:rsidRDefault="005665C2" w:rsidP="005665C2">
            <w:pPr>
              <w:rPr>
                <w:b/>
                <w:bCs/>
                <w:sz w:val="24"/>
                <w:szCs w:val="24"/>
              </w:rPr>
            </w:pPr>
            <w:bookmarkStart w:id="6" w:name="_Hlk63924017"/>
            <w:r w:rsidRPr="005665C2">
              <w:rPr>
                <w:b/>
                <w:bCs/>
                <w:sz w:val="24"/>
                <w:szCs w:val="24"/>
              </w:rPr>
              <w:t>Original Term</w:t>
            </w:r>
          </w:p>
        </w:tc>
        <w:tc>
          <w:tcPr>
            <w:tcW w:w="3330" w:type="dxa"/>
            <w:shd w:val="clear" w:color="auto" w:fill="C5E0B3" w:themeFill="accent6" w:themeFillTint="66"/>
          </w:tcPr>
          <w:p w14:paraId="5989BA02" w14:textId="6D65E95B" w:rsidR="005665C2" w:rsidRPr="005665C2" w:rsidRDefault="005665C2" w:rsidP="005665C2">
            <w:pPr>
              <w:rPr>
                <w:b/>
                <w:bCs/>
                <w:sz w:val="24"/>
                <w:szCs w:val="24"/>
              </w:rPr>
            </w:pPr>
            <w:r w:rsidRPr="005665C2">
              <w:rPr>
                <w:b/>
                <w:bCs/>
                <w:sz w:val="24"/>
                <w:szCs w:val="24"/>
              </w:rPr>
              <w:t>Translation</w:t>
            </w:r>
          </w:p>
        </w:tc>
        <w:tc>
          <w:tcPr>
            <w:tcW w:w="3510" w:type="dxa"/>
            <w:shd w:val="clear" w:color="auto" w:fill="C5E0B3" w:themeFill="accent6" w:themeFillTint="66"/>
          </w:tcPr>
          <w:p w14:paraId="13B1CCF3" w14:textId="260B3A69" w:rsidR="005665C2" w:rsidRPr="005665C2" w:rsidRDefault="005665C2" w:rsidP="005665C2">
            <w:pPr>
              <w:rPr>
                <w:b/>
                <w:bCs/>
                <w:sz w:val="24"/>
                <w:szCs w:val="24"/>
              </w:rPr>
            </w:pPr>
            <w:r w:rsidRPr="005665C2">
              <w:rPr>
                <w:b/>
                <w:bCs/>
                <w:sz w:val="24"/>
                <w:szCs w:val="24"/>
              </w:rPr>
              <w:t>Synonyms</w:t>
            </w:r>
          </w:p>
        </w:tc>
        <w:tc>
          <w:tcPr>
            <w:tcW w:w="3425" w:type="dxa"/>
            <w:shd w:val="clear" w:color="auto" w:fill="C5E0B3" w:themeFill="accent6" w:themeFillTint="66"/>
          </w:tcPr>
          <w:p w14:paraId="2710412C" w14:textId="6FA42EF0" w:rsidR="005665C2" w:rsidRPr="005665C2" w:rsidRDefault="005665C2" w:rsidP="005665C2">
            <w:pPr>
              <w:rPr>
                <w:b/>
                <w:bCs/>
                <w:sz w:val="24"/>
                <w:szCs w:val="24"/>
              </w:rPr>
            </w:pPr>
            <w:r w:rsidRPr="005665C2">
              <w:rPr>
                <w:b/>
                <w:bCs/>
                <w:sz w:val="24"/>
                <w:szCs w:val="24"/>
              </w:rPr>
              <w:t>Antonyms</w:t>
            </w:r>
          </w:p>
        </w:tc>
      </w:tr>
      <w:tr w:rsidR="005665C2" w:rsidRPr="005665C2" w14:paraId="7FE73546" w14:textId="77777777" w:rsidTr="005665C2">
        <w:tc>
          <w:tcPr>
            <w:tcW w:w="1705" w:type="dxa"/>
          </w:tcPr>
          <w:p w14:paraId="7D6F5595" w14:textId="7F2B1E07" w:rsidR="005665C2" w:rsidRPr="005665C2" w:rsidRDefault="005665C2" w:rsidP="005665C2">
            <w:r w:rsidRPr="005665C2">
              <w:t>Offline</w:t>
            </w:r>
          </w:p>
        </w:tc>
        <w:tc>
          <w:tcPr>
            <w:tcW w:w="3330" w:type="dxa"/>
          </w:tcPr>
          <w:p w14:paraId="263B643D" w14:textId="77777777" w:rsidR="005665C2" w:rsidRDefault="005665C2" w:rsidP="005665C2"/>
          <w:p w14:paraId="33332872" w14:textId="0E8883F7" w:rsidR="005665C2" w:rsidRPr="005665C2" w:rsidRDefault="005665C2" w:rsidP="005665C2"/>
        </w:tc>
        <w:tc>
          <w:tcPr>
            <w:tcW w:w="3510" w:type="dxa"/>
          </w:tcPr>
          <w:p w14:paraId="4CA365DF" w14:textId="77777777" w:rsidR="005665C2" w:rsidRPr="005665C2" w:rsidRDefault="005665C2" w:rsidP="005665C2"/>
        </w:tc>
        <w:tc>
          <w:tcPr>
            <w:tcW w:w="3425" w:type="dxa"/>
          </w:tcPr>
          <w:p w14:paraId="3387E84A" w14:textId="77777777" w:rsidR="005665C2" w:rsidRPr="005665C2" w:rsidRDefault="005665C2" w:rsidP="005665C2"/>
        </w:tc>
      </w:tr>
      <w:tr w:rsidR="005665C2" w:rsidRPr="005665C2" w14:paraId="18714E95" w14:textId="77777777" w:rsidTr="005665C2">
        <w:tc>
          <w:tcPr>
            <w:tcW w:w="1705" w:type="dxa"/>
          </w:tcPr>
          <w:p w14:paraId="63F3A8D3" w14:textId="6AFB18F1" w:rsidR="005665C2" w:rsidRPr="005665C2" w:rsidRDefault="005665C2" w:rsidP="005665C2">
            <w:r w:rsidRPr="005665C2">
              <w:t>Turn On</w:t>
            </w:r>
          </w:p>
        </w:tc>
        <w:tc>
          <w:tcPr>
            <w:tcW w:w="3330" w:type="dxa"/>
          </w:tcPr>
          <w:p w14:paraId="2A8AB158" w14:textId="77777777" w:rsidR="005665C2" w:rsidRDefault="005665C2" w:rsidP="005665C2"/>
          <w:p w14:paraId="15A0A429" w14:textId="4F8132E7" w:rsidR="005665C2" w:rsidRPr="005665C2" w:rsidRDefault="005665C2" w:rsidP="005665C2"/>
        </w:tc>
        <w:tc>
          <w:tcPr>
            <w:tcW w:w="3510" w:type="dxa"/>
          </w:tcPr>
          <w:p w14:paraId="4EC675E3" w14:textId="77777777" w:rsidR="005665C2" w:rsidRPr="005665C2" w:rsidRDefault="005665C2" w:rsidP="005665C2"/>
        </w:tc>
        <w:tc>
          <w:tcPr>
            <w:tcW w:w="3425" w:type="dxa"/>
          </w:tcPr>
          <w:p w14:paraId="2EA559C3" w14:textId="77777777" w:rsidR="005665C2" w:rsidRPr="005665C2" w:rsidRDefault="005665C2" w:rsidP="005665C2"/>
        </w:tc>
      </w:tr>
      <w:bookmarkEnd w:id="2"/>
      <w:bookmarkEnd w:id="6"/>
    </w:tbl>
    <w:p w14:paraId="70E67045" w14:textId="2DAF2DC6" w:rsidR="005665C2" w:rsidRDefault="005665C2" w:rsidP="005665C2"/>
    <w:bookmarkEnd w:id="3"/>
    <w:p w14:paraId="347BDAE0" w14:textId="77777777" w:rsidR="005665C2" w:rsidRDefault="005665C2">
      <w:r>
        <w:br w:type="page"/>
      </w:r>
    </w:p>
    <w:p w14:paraId="0E354BF2" w14:textId="77777777" w:rsidR="005665C2" w:rsidRPr="005665C2" w:rsidRDefault="005665C2" w:rsidP="005665C2"/>
    <w:p w14:paraId="09ACE6FB" w14:textId="13857B22" w:rsidR="00026E42" w:rsidRPr="00F65493" w:rsidRDefault="00026E42" w:rsidP="00A60C30">
      <w:pPr>
        <w:pStyle w:val="ListParagraph"/>
        <w:numPr>
          <w:ilvl w:val="0"/>
          <w:numId w:val="1"/>
        </w:numPr>
        <w:rPr>
          <w:sz w:val="24"/>
          <w:szCs w:val="24"/>
          <w:lang w:val="es-419"/>
        </w:rPr>
      </w:pPr>
      <w:r w:rsidRPr="00F65493">
        <w:rPr>
          <w:b/>
          <w:bCs/>
          <w:sz w:val="24"/>
          <w:szCs w:val="24"/>
        </w:rPr>
        <w:t>Editing Part</w:t>
      </w:r>
      <w:r w:rsidRPr="00F65493">
        <w:rPr>
          <w:sz w:val="24"/>
          <w:szCs w:val="24"/>
          <w:lang w:val="es-419"/>
        </w:rPr>
        <w:t xml:space="preserve">: </w:t>
      </w:r>
      <w:r w:rsidRPr="00F65493">
        <w:rPr>
          <w:rStyle w:val="Strong"/>
          <w:b w:val="0"/>
          <w:bCs w:val="0"/>
          <w:sz w:val="24"/>
          <w:szCs w:val="24"/>
        </w:rPr>
        <w:t xml:space="preserve">Find the mistakes in the following text and explain them in the table that follows. </w:t>
      </w:r>
      <w:r w:rsidR="00A60C30" w:rsidRPr="00F65493">
        <w:rPr>
          <w:rStyle w:val="Strong"/>
          <w:b w:val="0"/>
          <w:bCs w:val="0"/>
          <w:sz w:val="24"/>
          <w:szCs w:val="24"/>
        </w:rPr>
        <w:t xml:space="preserve">Please focus on linguistic mistakes, country standards </w:t>
      </w:r>
      <w:proofErr w:type="gramStart"/>
      <w:r w:rsidR="00A60C30" w:rsidRPr="00F65493">
        <w:rPr>
          <w:rStyle w:val="Strong"/>
          <w:b w:val="0"/>
          <w:bCs w:val="0"/>
          <w:sz w:val="24"/>
          <w:szCs w:val="24"/>
        </w:rPr>
        <w:t>and also</w:t>
      </w:r>
      <w:proofErr w:type="gramEnd"/>
      <w:r w:rsidR="00A60C30" w:rsidRPr="00F65493">
        <w:rPr>
          <w:rStyle w:val="Strong"/>
          <w:b w:val="0"/>
          <w:bCs w:val="0"/>
          <w:sz w:val="24"/>
          <w:szCs w:val="24"/>
        </w:rPr>
        <w:t xml:space="preserve"> layout/formatting issues. </w:t>
      </w:r>
      <w:r w:rsidRPr="00F65493">
        <w:rPr>
          <w:rFonts w:eastAsia="Cambria"/>
          <w:sz w:val="24"/>
          <w:szCs w:val="24"/>
        </w:rPr>
        <w:t>The first mistake is explained for you as an example.</w:t>
      </w:r>
    </w:p>
    <w:p w14:paraId="500CD25F" w14:textId="300B62AC" w:rsidR="00A60C30" w:rsidRPr="00853714" w:rsidRDefault="00A60C30" w:rsidP="00A60C30">
      <w:pPr>
        <w:spacing w:before="93"/>
        <w:ind w:left="140"/>
        <w:rPr>
          <w:i/>
          <w:sz w:val="20"/>
          <w:lang w:val="es-419"/>
        </w:rPr>
      </w:pPr>
      <w:r w:rsidRPr="008A5941">
        <w:rPr>
          <w:i/>
          <w:sz w:val="20"/>
          <w:highlight w:val="yellow"/>
          <w:lang w:val="es-419"/>
        </w:rPr>
        <w:t>C</w:t>
      </w:r>
      <w:r w:rsidR="008A5941" w:rsidRPr="008A5941">
        <w:rPr>
          <w:i/>
          <w:sz w:val="20"/>
          <w:highlight w:val="yellow"/>
          <w:lang w:val="es-419"/>
        </w:rPr>
        <w:t>o</w:t>
      </w:r>
      <w:r w:rsidRPr="008A5941">
        <w:rPr>
          <w:i/>
          <w:sz w:val="20"/>
          <w:highlight w:val="yellow"/>
          <w:lang w:val="es-419"/>
        </w:rPr>
        <w:t>digos</w:t>
      </w:r>
      <w:r w:rsidRPr="00853714">
        <w:rPr>
          <w:i/>
          <w:sz w:val="20"/>
          <w:lang w:val="es-419"/>
        </w:rPr>
        <w:t xml:space="preserve"> </w:t>
      </w:r>
      <w:r w:rsidR="008A5941">
        <w:rPr>
          <w:i/>
          <w:sz w:val="20"/>
          <w:lang w:val="es-419"/>
        </w:rPr>
        <w:t>D</w:t>
      </w:r>
      <w:r w:rsidRPr="00853714">
        <w:rPr>
          <w:i/>
          <w:sz w:val="20"/>
          <w:lang w:val="es-419"/>
        </w:rPr>
        <w:t xml:space="preserve">e </w:t>
      </w:r>
      <w:r w:rsidR="008A5941">
        <w:rPr>
          <w:i/>
          <w:sz w:val="20"/>
          <w:lang w:val="es-419"/>
        </w:rPr>
        <w:t>P</w:t>
      </w:r>
      <w:r w:rsidR="00853714" w:rsidRPr="008A5941">
        <w:rPr>
          <w:i/>
          <w:sz w:val="20"/>
          <w:lang w:val="es-419"/>
        </w:rPr>
        <w:t>r</w:t>
      </w:r>
      <w:r w:rsidRPr="008A5941">
        <w:rPr>
          <w:i/>
          <w:sz w:val="20"/>
          <w:lang w:val="es-419"/>
        </w:rPr>
        <w:t>ogreso</w:t>
      </w:r>
      <w:r w:rsidRPr="00853714">
        <w:rPr>
          <w:i/>
          <w:sz w:val="20"/>
          <w:lang w:val="es-419"/>
        </w:rPr>
        <w:t>:</w:t>
      </w:r>
    </w:p>
    <w:p w14:paraId="16EF5497" w14:textId="31DD2B13" w:rsidR="00A60C30" w:rsidRPr="00853714" w:rsidRDefault="00A60C30" w:rsidP="00A60C30">
      <w:pPr>
        <w:pStyle w:val="ListParagraph"/>
        <w:widowControl w:val="0"/>
        <w:numPr>
          <w:ilvl w:val="0"/>
          <w:numId w:val="2"/>
        </w:numPr>
        <w:tabs>
          <w:tab w:val="left" w:pos="307"/>
        </w:tabs>
        <w:autoSpaceDE w:val="0"/>
        <w:autoSpaceDN w:val="0"/>
        <w:spacing w:after="0" w:line="240" w:lineRule="auto"/>
        <w:ind w:firstLine="0"/>
        <w:contextualSpacing w:val="0"/>
        <w:rPr>
          <w:i/>
          <w:sz w:val="20"/>
          <w:lang w:val="es-419"/>
        </w:rPr>
      </w:pPr>
      <w:r w:rsidRPr="00853714">
        <w:rPr>
          <w:i/>
          <w:sz w:val="20"/>
          <w:lang w:val="es-419"/>
        </w:rPr>
        <w:t>- Su hijo(a) no trabajó en este obje</w:t>
      </w:r>
      <w:r w:rsidR="00D5484D">
        <w:rPr>
          <w:i/>
          <w:sz w:val="20"/>
          <w:lang w:val="es-419"/>
        </w:rPr>
        <w:t>c</w:t>
      </w:r>
      <w:r w:rsidRPr="00853714">
        <w:rPr>
          <w:i/>
          <w:sz w:val="20"/>
          <w:lang w:val="es-419"/>
        </w:rPr>
        <w:t>tivo durante el período del informe (ver explicación a continuación).</w:t>
      </w:r>
    </w:p>
    <w:p w14:paraId="768CE2AB" w14:textId="6C6929ED" w:rsidR="00A60C30" w:rsidRPr="00853714" w:rsidRDefault="00A60C30" w:rsidP="00A60C30">
      <w:pPr>
        <w:pStyle w:val="ListParagraph"/>
        <w:widowControl w:val="0"/>
        <w:numPr>
          <w:ilvl w:val="0"/>
          <w:numId w:val="2"/>
        </w:numPr>
        <w:tabs>
          <w:tab w:val="left" w:pos="307"/>
        </w:tabs>
        <w:autoSpaceDE w:val="0"/>
        <w:autoSpaceDN w:val="0"/>
        <w:spacing w:after="0" w:line="240" w:lineRule="auto"/>
        <w:ind w:firstLine="0"/>
        <w:contextualSpacing w:val="0"/>
        <w:rPr>
          <w:i/>
          <w:sz w:val="20"/>
          <w:lang w:val="es-419"/>
        </w:rPr>
      </w:pPr>
      <w:r w:rsidRPr="00853714">
        <w:rPr>
          <w:i/>
          <w:sz w:val="20"/>
          <w:lang w:val="es-419"/>
        </w:rPr>
        <w:t>- El progreso no es suficiente para cumplir con este objetivo al momento de revisión del IEP. Se llevará a cabo una revisión del IEP de i</w:t>
      </w:r>
      <w:r w:rsidR="00D5484D">
        <w:rPr>
          <w:i/>
          <w:sz w:val="20"/>
          <w:lang w:val="es-419"/>
        </w:rPr>
        <w:t>m</w:t>
      </w:r>
      <w:r w:rsidRPr="00853714">
        <w:rPr>
          <w:i/>
          <w:sz w:val="20"/>
          <w:lang w:val="es-419"/>
        </w:rPr>
        <w:t>mediato.</w:t>
      </w:r>
    </w:p>
    <w:p w14:paraId="15E0B4B5" w14:textId="48FFFFFD" w:rsidR="00A60C30" w:rsidRPr="00853714" w:rsidRDefault="00A60C30" w:rsidP="00A60C30">
      <w:pPr>
        <w:pStyle w:val="ListParagraph"/>
        <w:widowControl w:val="0"/>
        <w:numPr>
          <w:ilvl w:val="0"/>
          <w:numId w:val="2"/>
        </w:numPr>
        <w:tabs>
          <w:tab w:val="left" w:pos="307"/>
        </w:tabs>
        <w:autoSpaceDE w:val="0"/>
        <w:autoSpaceDN w:val="0"/>
        <w:spacing w:after="0" w:line="240" w:lineRule="auto"/>
        <w:ind w:right="784" w:firstLine="0"/>
        <w:contextualSpacing w:val="0"/>
        <w:rPr>
          <w:i/>
          <w:sz w:val="20"/>
          <w:lang w:val="es-419"/>
        </w:rPr>
      </w:pPr>
      <w:r w:rsidRPr="00853714">
        <w:rPr>
          <w:i/>
          <w:sz w:val="20"/>
          <w:lang w:val="es-419"/>
        </w:rPr>
        <w:t>- Se ha progresado hacia el objetivo, pero es posible que no se alcance. Es posible que se deban cambiar l</w:t>
      </w:r>
      <w:r w:rsidR="00D5484D">
        <w:rPr>
          <w:i/>
          <w:sz w:val="20"/>
          <w:lang w:val="es-419"/>
        </w:rPr>
        <w:t>o</w:t>
      </w:r>
      <w:r w:rsidRPr="00853714">
        <w:rPr>
          <w:i/>
          <w:sz w:val="20"/>
          <w:lang w:val="es-419"/>
        </w:rPr>
        <w:t xml:space="preserve">s estrategias de formación. </w:t>
      </w:r>
      <w:r w:rsidR="00D5484D">
        <w:rPr>
          <w:i/>
          <w:sz w:val="20"/>
          <w:lang w:val="es-419"/>
        </w:rPr>
        <w:t>3</w:t>
      </w:r>
      <w:r w:rsidRPr="00853714">
        <w:rPr>
          <w:i/>
          <w:sz w:val="20"/>
          <w:lang w:val="es-419"/>
        </w:rPr>
        <w:t xml:space="preserve"> - Se ha progresado hacia el objetivo. Parece que se alcanzará el objetivo para la próxima revisión del IEP.</w:t>
      </w:r>
    </w:p>
    <w:p w14:paraId="68813D85" w14:textId="77777777" w:rsidR="00A60C30" w:rsidRPr="00853714" w:rsidRDefault="00A60C30" w:rsidP="00A60C30">
      <w:pPr>
        <w:ind w:left="140" w:right="4378"/>
        <w:rPr>
          <w:i/>
          <w:sz w:val="20"/>
          <w:lang w:val="es-419"/>
        </w:rPr>
      </w:pPr>
      <w:r w:rsidRPr="00853714">
        <w:rPr>
          <w:i/>
          <w:sz w:val="20"/>
          <w:lang w:val="es-419"/>
        </w:rPr>
        <w:t>5 - El desempeño se encuentra en el nivel exigido o por encima de este para alcanzar el objetivo en la próxima revisión. 6 - Consulte la sección de comentarios y puntuación a continuación.</w:t>
      </w:r>
    </w:p>
    <w:p w14:paraId="542F3803" w14:textId="7C5742BE" w:rsidR="00A60C30" w:rsidRPr="00D5484D" w:rsidRDefault="00A60C30" w:rsidP="00A60C30">
      <w:pPr>
        <w:tabs>
          <w:tab w:val="left" w:pos="1681"/>
        </w:tabs>
        <w:spacing w:before="29" w:after="91"/>
        <w:ind w:left="242"/>
        <w:rPr>
          <w:b/>
          <w:bCs/>
          <w:sz w:val="28"/>
          <w:szCs w:val="28"/>
          <w:lang w:val="es-419"/>
        </w:rPr>
      </w:pPr>
      <w:r w:rsidRPr="00D5484D">
        <w:rPr>
          <w:b/>
          <w:bCs/>
          <w:sz w:val="28"/>
          <w:szCs w:val="32"/>
          <w:lang w:val="es-419"/>
        </w:rPr>
        <w:t>Categor</w:t>
      </w:r>
      <w:r w:rsidR="00D5484D">
        <w:rPr>
          <w:b/>
          <w:bCs/>
          <w:sz w:val="28"/>
          <w:szCs w:val="32"/>
          <w:lang w:val="es-419"/>
        </w:rPr>
        <w:t>i</w:t>
      </w:r>
      <w:r w:rsidRPr="00D5484D">
        <w:rPr>
          <w:b/>
          <w:bCs/>
          <w:sz w:val="28"/>
          <w:szCs w:val="32"/>
          <w:lang w:val="es-419"/>
        </w:rPr>
        <w:t>a</w:t>
      </w:r>
      <w:r w:rsidRPr="00D5484D">
        <w:rPr>
          <w:b/>
          <w:bCs/>
          <w:sz w:val="24"/>
          <w:szCs w:val="28"/>
          <w:lang w:val="es-419"/>
        </w:rPr>
        <w:t>:</w:t>
      </w:r>
      <w:r w:rsidRPr="00D5484D">
        <w:rPr>
          <w:b/>
          <w:bCs/>
          <w:sz w:val="24"/>
          <w:szCs w:val="28"/>
          <w:lang w:val="es-419"/>
        </w:rPr>
        <w:tab/>
      </w:r>
      <w:r w:rsidRPr="00D5484D">
        <w:rPr>
          <w:b/>
          <w:bCs/>
          <w:sz w:val="28"/>
          <w:szCs w:val="28"/>
          <w:lang w:val="es-419"/>
        </w:rPr>
        <w:t>Matemáticas</w:t>
      </w:r>
    </w:p>
    <w:p w14:paraId="6CF21B9B" w14:textId="1F19EF23" w:rsidR="005844F2" w:rsidRPr="00853714" w:rsidRDefault="005844F2" w:rsidP="00A60C30">
      <w:pPr>
        <w:tabs>
          <w:tab w:val="left" w:pos="1681"/>
        </w:tabs>
        <w:spacing w:before="29" w:after="91"/>
        <w:ind w:left="242"/>
        <w:rPr>
          <w:lang w:val="es-419"/>
        </w:rPr>
      </w:pPr>
    </w:p>
    <w:tbl>
      <w:tblPr>
        <w:tblStyle w:val="TableGrid"/>
        <w:tblW w:w="12420" w:type="dxa"/>
        <w:tblInd w:w="85" w:type="dxa"/>
        <w:tblLook w:val="04A0" w:firstRow="1" w:lastRow="0" w:firstColumn="1" w:lastColumn="0" w:noHBand="0" w:noVBand="1"/>
      </w:tblPr>
      <w:tblGrid>
        <w:gridCol w:w="1440"/>
        <w:gridCol w:w="1890"/>
        <w:gridCol w:w="9090"/>
      </w:tblGrid>
      <w:tr w:rsidR="00853714" w:rsidRPr="00853714" w14:paraId="2EA5A378" w14:textId="77777777" w:rsidTr="00853714">
        <w:tc>
          <w:tcPr>
            <w:tcW w:w="1440" w:type="dxa"/>
          </w:tcPr>
          <w:p w14:paraId="4B24E1ED" w14:textId="6D71B9DA" w:rsidR="00853714" w:rsidRPr="00853714" w:rsidRDefault="00853714" w:rsidP="00A60C30">
            <w:pPr>
              <w:tabs>
                <w:tab w:val="left" w:pos="1681"/>
              </w:tabs>
              <w:spacing w:before="29" w:after="91"/>
              <w:rPr>
                <w:lang w:val="es-419"/>
              </w:rPr>
            </w:pPr>
            <w:r w:rsidRPr="00853714">
              <w:rPr>
                <w:b/>
                <w:sz w:val="18"/>
                <w:u w:val="single"/>
                <w:lang w:val="es-419"/>
              </w:rPr>
              <w:t>Fecha</w:t>
            </w:r>
          </w:p>
        </w:tc>
        <w:tc>
          <w:tcPr>
            <w:tcW w:w="1890" w:type="dxa"/>
          </w:tcPr>
          <w:p w14:paraId="60FC0F8C" w14:textId="7F276230" w:rsidR="00853714" w:rsidRPr="00853714" w:rsidRDefault="00853714" w:rsidP="00A60C30">
            <w:pPr>
              <w:tabs>
                <w:tab w:val="left" w:pos="1681"/>
              </w:tabs>
              <w:spacing w:before="29" w:after="91"/>
              <w:rPr>
                <w:lang w:val="es-419"/>
              </w:rPr>
            </w:pPr>
            <w:r w:rsidRPr="00853714">
              <w:rPr>
                <w:b/>
                <w:sz w:val="18"/>
                <w:u w:val="single"/>
                <w:lang w:val="es-419"/>
              </w:rPr>
              <w:t xml:space="preserve">Código de </w:t>
            </w:r>
            <w:r w:rsidRPr="00A902C0">
              <w:rPr>
                <w:bCs/>
                <w:sz w:val="20"/>
                <w:szCs w:val="24"/>
                <w:lang w:val="es-419"/>
              </w:rPr>
              <w:t>progreso</w:t>
            </w:r>
          </w:p>
        </w:tc>
        <w:tc>
          <w:tcPr>
            <w:tcW w:w="9090" w:type="dxa"/>
          </w:tcPr>
          <w:p w14:paraId="40ED4E84" w14:textId="28BA4211" w:rsidR="00853714" w:rsidRPr="00853714" w:rsidRDefault="00853714" w:rsidP="00A60C30">
            <w:pPr>
              <w:tabs>
                <w:tab w:val="left" w:pos="1681"/>
              </w:tabs>
              <w:spacing w:before="29" w:after="91"/>
              <w:rPr>
                <w:lang w:val="es-419"/>
              </w:rPr>
            </w:pPr>
            <w:r w:rsidRPr="00853714">
              <w:rPr>
                <w:b/>
                <w:sz w:val="18"/>
                <w:u w:val="single"/>
                <w:lang w:val="es-419"/>
              </w:rPr>
              <w:t>Comentarios</w:t>
            </w:r>
          </w:p>
        </w:tc>
      </w:tr>
      <w:tr w:rsidR="00853714" w:rsidRPr="00853714" w14:paraId="1999C418" w14:textId="77777777" w:rsidTr="00853714">
        <w:tc>
          <w:tcPr>
            <w:tcW w:w="1440" w:type="dxa"/>
          </w:tcPr>
          <w:p w14:paraId="237CFC8D" w14:textId="1F134059" w:rsidR="00853714" w:rsidRPr="00853714" w:rsidRDefault="00853714" w:rsidP="00853714">
            <w:pPr>
              <w:tabs>
                <w:tab w:val="left" w:pos="1681"/>
              </w:tabs>
              <w:spacing w:before="29" w:after="91"/>
              <w:rPr>
                <w:lang w:val="es-419"/>
              </w:rPr>
            </w:pPr>
            <w:r w:rsidRPr="00853714">
              <w:rPr>
                <w:lang w:val="es-419"/>
              </w:rPr>
              <w:t>6</w:t>
            </w:r>
          </w:p>
        </w:tc>
        <w:tc>
          <w:tcPr>
            <w:tcW w:w="1890" w:type="dxa"/>
          </w:tcPr>
          <w:p w14:paraId="0CF16B6B" w14:textId="28F99100" w:rsidR="00853714" w:rsidRPr="00853714" w:rsidRDefault="00853714" w:rsidP="00853714">
            <w:pPr>
              <w:tabs>
                <w:tab w:val="left" w:pos="1681"/>
              </w:tabs>
              <w:spacing w:before="29" w:after="91"/>
              <w:rPr>
                <w:lang w:val="es-419"/>
              </w:rPr>
            </w:pPr>
            <w:r w:rsidRPr="00853714">
              <w:rPr>
                <w:lang w:val="es-419"/>
              </w:rPr>
              <w:t>6/6/2020</w:t>
            </w:r>
          </w:p>
        </w:tc>
        <w:tc>
          <w:tcPr>
            <w:tcW w:w="9090" w:type="dxa"/>
          </w:tcPr>
          <w:p w14:paraId="24B29235" w14:textId="36BD8F51" w:rsidR="00853714" w:rsidRPr="00853714" w:rsidRDefault="00853714" w:rsidP="00853714">
            <w:pPr>
              <w:tabs>
                <w:tab w:val="left" w:pos="1681"/>
              </w:tabs>
              <w:spacing w:before="29" w:after="91"/>
              <w:rPr>
                <w:lang w:val="es-419"/>
              </w:rPr>
            </w:pPr>
            <w:r w:rsidRPr="00853714">
              <w:rPr>
                <w:lang w:val="es-419"/>
              </w:rPr>
              <w:t>Esta nota de progreso se redacta durante la pandemia por COVID-</w:t>
            </w:r>
            <w:r w:rsidR="00A902C0">
              <w:rPr>
                <w:lang w:val="es-419"/>
              </w:rPr>
              <w:t>19</w:t>
            </w:r>
            <w:r w:rsidRPr="00853714">
              <w:rPr>
                <w:lang w:val="es-419"/>
              </w:rPr>
              <w:t xml:space="preserve"> mientras los establecimientos escolares permanecen cerrados y los servicios se brindan a través del aprendizaje a distancia. El equipo ofreció oportunidades de aprendizaje a distancia a través de Dreambox y formación en grupos pequeños</w:t>
            </w:r>
          </w:p>
        </w:tc>
      </w:tr>
      <w:tr w:rsidR="00853714" w:rsidRPr="00853714" w14:paraId="292FD175" w14:textId="77777777" w:rsidTr="00853714">
        <w:tc>
          <w:tcPr>
            <w:tcW w:w="1440" w:type="dxa"/>
          </w:tcPr>
          <w:p w14:paraId="3B0493AD" w14:textId="4D088F1A" w:rsidR="00853714" w:rsidRPr="00853714" w:rsidRDefault="00D5484D" w:rsidP="00853714">
            <w:pPr>
              <w:tabs>
                <w:tab w:val="left" w:pos="1681"/>
              </w:tabs>
              <w:spacing w:before="29" w:after="91"/>
              <w:rPr>
                <w:lang w:val="es-419"/>
              </w:rPr>
            </w:pPr>
            <w:r>
              <w:rPr>
                <w:lang w:val="es-419"/>
              </w:rPr>
              <w:t>3</w:t>
            </w:r>
          </w:p>
        </w:tc>
        <w:tc>
          <w:tcPr>
            <w:tcW w:w="1890" w:type="dxa"/>
          </w:tcPr>
          <w:p w14:paraId="39A22E36" w14:textId="06988B22" w:rsidR="00853714" w:rsidRPr="00853714" w:rsidRDefault="00853714" w:rsidP="00853714">
            <w:pPr>
              <w:tabs>
                <w:tab w:val="left" w:pos="1681"/>
              </w:tabs>
              <w:spacing w:before="29" w:after="91"/>
              <w:rPr>
                <w:lang w:val="es-419"/>
              </w:rPr>
            </w:pPr>
            <w:r w:rsidRPr="00853714">
              <w:rPr>
                <w:lang w:val="es-419"/>
              </w:rPr>
              <w:t>11/17/2020</w:t>
            </w:r>
          </w:p>
        </w:tc>
        <w:tc>
          <w:tcPr>
            <w:tcW w:w="9090" w:type="dxa"/>
          </w:tcPr>
          <w:p w14:paraId="1DD3A9B5" w14:textId="6A11C370" w:rsidR="00853714" w:rsidRPr="00853714" w:rsidRDefault="00853714" w:rsidP="00853714">
            <w:pPr>
              <w:tabs>
                <w:tab w:val="left" w:pos="1681"/>
              </w:tabs>
              <w:spacing w:before="29" w:after="91"/>
              <w:rPr>
                <w:lang w:val="es-419"/>
              </w:rPr>
            </w:pPr>
            <w:r w:rsidRPr="00853714">
              <w:rPr>
                <w:lang w:val="es-419"/>
              </w:rPr>
              <w:t>Estos datos se recopilaron durante la educación a distancia integral (CDL) a causa de la pandemia por COVID-</w:t>
            </w:r>
            <w:r w:rsidR="00A902C0">
              <w:rPr>
                <w:lang w:val="es-419"/>
              </w:rPr>
              <w:t>18</w:t>
            </w:r>
            <w:r w:rsidRPr="00853714">
              <w:rPr>
                <w:lang w:val="es-419"/>
              </w:rPr>
              <w:t>, a partir de diversas fuentes, tanto directas como anecdóticas. Estudiante</w:t>
            </w:r>
            <w:r w:rsidR="00A902C0">
              <w:rPr>
                <w:lang w:val="es-419"/>
              </w:rPr>
              <w:t>s</w:t>
            </w:r>
            <w:r w:rsidRPr="00853714">
              <w:rPr>
                <w:lang w:val="es-419"/>
              </w:rPr>
              <w:t xml:space="preserve"> puede sumar problemas matemáticos de un solo dígito. Sigue utilizando los dedos como método principal para contar. Puede realizar el conteo salteado cada 2, 3 y 10 en una tabla numérica.</w:t>
            </w:r>
          </w:p>
        </w:tc>
      </w:tr>
      <w:bookmarkEnd w:id="0"/>
    </w:tbl>
    <w:p w14:paraId="1B88C986" w14:textId="7888EC5C" w:rsidR="00A60C30" w:rsidRDefault="00A60C30" w:rsidP="00853714">
      <w:pPr>
        <w:tabs>
          <w:tab w:val="left" w:pos="1681"/>
        </w:tabs>
        <w:spacing w:before="29" w:after="91"/>
        <w:ind w:left="242"/>
        <w:rPr>
          <w:lang w:val="es-US"/>
        </w:rPr>
      </w:pPr>
    </w:p>
    <w:p w14:paraId="37E07D15" w14:textId="3A2B6B9E" w:rsidR="00853714" w:rsidRDefault="00853714" w:rsidP="00853714">
      <w:pPr>
        <w:tabs>
          <w:tab w:val="left" w:pos="1681"/>
        </w:tabs>
        <w:spacing w:before="29" w:after="91"/>
        <w:ind w:left="242"/>
        <w:rPr>
          <w:lang w:val="es-US"/>
        </w:rPr>
      </w:pPr>
    </w:p>
    <w:tbl>
      <w:tblPr>
        <w:tblStyle w:val="TableGrid"/>
        <w:tblW w:w="0" w:type="auto"/>
        <w:tblInd w:w="242" w:type="dxa"/>
        <w:tblLook w:val="04A0" w:firstRow="1" w:lastRow="0" w:firstColumn="1" w:lastColumn="0" w:noHBand="0" w:noVBand="1"/>
      </w:tblPr>
      <w:tblGrid>
        <w:gridCol w:w="3803"/>
        <w:gridCol w:w="7925"/>
      </w:tblGrid>
      <w:tr w:rsidR="00853714" w:rsidRPr="007929DD" w14:paraId="55EFCB87" w14:textId="77777777" w:rsidTr="006C5904">
        <w:trPr>
          <w:trHeight w:val="367"/>
        </w:trPr>
        <w:tc>
          <w:tcPr>
            <w:tcW w:w="3803" w:type="dxa"/>
            <w:shd w:val="clear" w:color="auto" w:fill="C5E0B3" w:themeFill="accent6" w:themeFillTint="66"/>
          </w:tcPr>
          <w:p w14:paraId="504FFDA1" w14:textId="1BBE26BE" w:rsidR="00853714" w:rsidRPr="007929DD" w:rsidRDefault="00853714" w:rsidP="00853714">
            <w:pPr>
              <w:tabs>
                <w:tab w:val="left" w:pos="1681"/>
              </w:tabs>
              <w:spacing w:before="29" w:after="91"/>
              <w:rPr>
                <w:b/>
                <w:bCs/>
                <w:sz w:val="24"/>
                <w:szCs w:val="24"/>
                <w:lang w:val="es-US"/>
              </w:rPr>
            </w:pPr>
            <w:r w:rsidRPr="007929DD">
              <w:rPr>
                <w:b/>
                <w:bCs/>
                <w:sz w:val="24"/>
                <w:szCs w:val="24"/>
                <w:lang w:val="es-US"/>
              </w:rPr>
              <w:t>Mistake</w:t>
            </w:r>
          </w:p>
        </w:tc>
        <w:tc>
          <w:tcPr>
            <w:tcW w:w="7925" w:type="dxa"/>
            <w:shd w:val="clear" w:color="auto" w:fill="C5E0B3" w:themeFill="accent6" w:themeFillTint="66"/>
          </w:tcPr>
          <w:p w14:paraId="27C1EEB8" w14:textId="1406C29D" w:rsidR="00853714" w:rsidRPr="007929DD" w:rsidRDefault="00853714" w:rsidP="00853714">
            <w:pPr>
              <w:tabs>
                <w:tab w:val="left" w:pos="1681"/>
              </w:tabs>
              <w:spacing w:before="29" w:after="91"/>
              <w:rPr>
                <w:b/>
                <w:bCs/>
                <w:sz w:val="24"/>
                <w:szCs w:val="24"/>
                <w:lang w:val="es-US"/>
              </w:rPr>
            </w:pPr>
            <w:r w:rsidRPr="007929DD">
              <w:rPr>
                <w:b/>
                <w:bCs/>
                <w:sz w:val="24"/>
                <w:szCs w:val="24"/>
                <w:lang w:val="es-US"/>
              </w:rPr>
              <w:t>Explanation</w:t>
            </w:r>
          </w:p>
        </w:tc>
      </w:tr>
      <w:tr w:rsidR="00853714" w14:paraId="7C15925C" w14:textId="77777777" w:rsidTr="006C5904">
        <w:tc>
          <w:tcPr>
            <w:tcW w:w="3803" w:type="dxa"/>
          </w:tcPr>
          <w:p w14:paraId="6B5FED35" w14:textId="6BB65B5B" w:rsidR="00853714" w:rsidRDefault="008A5941" w:rsidP="00853714">
            <w:pPr>
              <w:tabs>
                <w:tab w:val="left" w:pos="1681"/>
              </w:tabs>
              <w:spacing w:before="29" w:after="91"/>
              <w:rPr>
                <w:lang w:val="es-US"/>
              </w:rPr>
            </w:pPr>
            <w:r w:rsidRPr="008A5941">
              <w:rPr>
                <w:i/>
                <w:sz w:val="20"/>
                <w:highlight w:val="yellow"/>
                <w:lang w:val="es-419"/>
              </w:rPr>
              <w:t>Codigos</w:t>
            </w:r>
          </w:p>
        </w:tc>
        <w:tc>
          <w:tcPr>
            <w:tcW w:w="7925" w:type="dxa"/>
          </w:tcPr>
          <w:p w14:paraId="5A1BEB0F" w14:textId="24DCD6DA" w:rsidR="00853714" w:rsidRDefault="00853714" w:rsidP="00853714">
            <w:pPr>
              <w:tabs>
                <w:tab w:val="left" w:pos="1681"/>
              </w:tabs>
              <w:spacing w:before="29" w:after="91"/>
              <w:rPr>
                <w:lang w:val="es-US"/>
              </w:rPr>
            </w:pPr>
            <w:r>
              <w:rPr>
                <w:lang w:val="es-US"/>
              </w:rPr>
              <w:t xml:space="preserve">Typo, </w:t>
            </w:r>
            <w:r w:rsidR="008A5941">
              <w:rPr>
                <w:lang w:val="es-US"/>
              </w:rPr>
              <w:t>missing accent</w:t>
            </w:r>
            <w:r>
              <w:rPr>
                <w:lang w:val="es-US"/>
              </w:rPr>
              <w:t>, correct “</w:t>
            </w:r>
            <w:r w:rsidR="008A5941" w:rsidRPr="00DE2E85">
              <w:rPr>
                <w:i/>
                <w:sz w:val="20"/>
                <w:lang w:val="es-419"/>
              </w:rPr>
              <w:t>Códigos</w:t>
            </w:r>
            <w:r>
              <w:rPr>
                <w:lang w:val="es-US"/>
              </w:rPr>
              <w:t>”</w:t>
            </w:r>
          </w:p>
        </w:tc>
      </w:tr>
      <w:tr w:rsidR="00853714" w14:paraId="21532B5A" w14:textId="77777777" w:rsidTr="006C5904">
        <w:tc>
          <w:tcPr>
            <w:tcW w:w="3803" w:type="dxa"/>
          </w:tcPr>
          <w:p w14:paraId="629CD38C" w14:textId="77777777" w:rsidR="00853714" w:rsidRDefault="00853714" w:rsidP="00853714">
            <w:pPr>
              <w:tabs>
                <w:tab w:val="left" w:pos="1681"/>
              </w:tabs>
              <w:spacing w:before="29" w:after="91"/>
              <w:rPr>
                <w:lang w:val="es-US"/>
              </w:rPr>
            </w:pPr>
          </w:p>
        </w:tc>
        <w:tc>
          <w:tcPr>
            <w:tcW w:w="7925" w:type="dxa"/>
          </w:tcPr>
          <w:p w14:paraId="356C9314" w14:textId="77777777" w:rsidR="00853714" w:rsidRDefault="00853714" w:rsidP="00853714">
            <w:pPr>
              <w:tabs>
                <w:tab w:val="left" w:pos="1681"/>
              </w:tabs>
              <w:spacing w:before="29" w:after="91"/>
              <w:rPr>
                <w:lang w:val="es-US"/>
              </w:rPr>
            </w:pPr>
          </w:p>
        </w:tc>
      </w:tr>
      <w:tr w:rsidR="00853714" w14:paraId="0F90CBF7" w14:textId="77777777" w:rsidTr="006C5904">
        <w:tc>
          <w:tcPr>
            <w:tcW w:w="3803" w:type="dxa"/>
          </w:tcPr>
          <w:p w14:paraId="0EB2E14F" w14:textId="77777777" w:rsidR="00853714" w:rsidRDefault="00853714" w:rsidP="00853714">
            <w:pPr>
              <w:tabs>
                <w:tab w:val="left" w:pos="1681"/>
              </w:tabs>
              <w:spacing w:before="29" w:after="91"/>
              <w:rPr>
                <w:lang w:val="es-US"/>
              </w:rPr>
            </w:pPr>
          </w:p>
        </w:tc>
        <w:tc>
          <w:tcPr>
            <w:tcW w:w="7925" w:type="dxa"/>
          </w:tcPr>
          <w:p w14:paraId="7F7A3D5B" w14:textId="77777777" w:rsidR="00853714" w:rsidRDefault="00853714" w:rsidP="00853714">
            <w:pPr>
              <w:tabs>
                <w:tab w:val="left" w:pos="1681"/>
              </w:tabs>
              <w:spacing w:before="29" w:after="91"/>
              <w:rPr>
                <w:lang w:val="es-US"/>
              </w:rPr>
            </w:pPr>
          </w:p>
        </w:tc>
      </w:tr>
      <w:tr w:rsidR="00853714" w14:paraId="23E3B9FE" w14:textId="77777777" w:rsidTr="006C5904">
        <w:tc>
          <w:tcPr>
            <w:tcW w:w="3803" w:type="dxa"/>
          </w:tcPr>
          <w:p w14:paraId="40ED789B" w14:textId="77777777" w:rsidR="00853714" w:rsidRDefault="00853714" w:rsidP="00853714">
            <w:pPr>
              <w:tabs>
                <w:tab w:val="left" w:pos="1681"/>
              </w:tabs>
              <w:spacing w:before="29" w:after="91"/>
              <w:rPr>
                <w:lang w:val="es-US"/>
              </w:rPr>
            </w:pPr>
          </w:p>
        </w:tc>
        <w:tc>
          <w:tcPr>
            <w:tcW w:w="7925" w:type="dxa"/>
          </w:tcPr>
          <w:p w14:paraId="71389CC9" w14:textId="77777777" w:rsidR="00853714" w:rsidRDefault="00853714" w:rsidP="00853714">
            <w:pPr>
              <w:tabs>
                <w:tab w:val="left" w:pos="1681"/>
              </w:tabs>
              <w:spacing w:before="29" w:after="91"/>
              <w:rPr>
                <w:lang w:val="es-US"/>
              </w:rPr>
            </w:pPr>
          </w:p>
        </w:tc>
      </w:tr>
      <w:tr w:rsidR="00853714" w14:paraId="241616F8" w14:textId="77777777" w:rsidTr="006C5904">
        <w:tc>
          <w:tcPr>
            <w:tcW w:w="3803" w:type="dxa"/>
          </w:tcPr>
          <w:p w14:paraId="7262F932" w14:textId="77777777" w:rsidR="00853714" w:rsidRDefault="00853714" w:rsidP="00853714">
            <w:pPr>
              <w:tabs>
                <w:tab w:val="left" w:pos="1681"/>
              </w:tabs>
              <w:spacing w:before="29" w:after="91"/>
              <w:rPr>
                <w:lang w:val="es-US"/>
              </w:rPr>
            </w:pPr>
          </w:p>
        </w:tc>
        <w:tc>
          <w:tcPr>
            <w:tcW w:w="7925" w:type="dxa"/>
          </w:tcPr>
          <w:p w14:paraId="59FEEEA5" w14:textId="77777777" w:rsidR="00853714" w:rsidRDefault="00853714" w:rsidP="00853714">
            <w:pPr>
              <w:tabs>
                <w:tab w:val="left" w:pos="1681"/>
              </w:tabs>
              <w:spacing w:before="29" w:after="91"/>
              <w:rPr>
                <w:lang w:val="es-US"/>
              </w:rPr>
            </w:pPr>
          </w:p>
        </w:tc>
      </w:tr>
    </w:tbl>
    <w:p w14:paraId="2ECC4FD6" w14:textId="77777777" w:rsidR="00853714" w:rsidRPr="00A60C30" w:rsidRDefault="00853714" w:rsidP="00853714">
      <w:pPr>
        <w:tabs>
          <w:tab w:val="left" w:pos="1681"/>
        </w:tabs>
        <w:spacing w:before="29" w:after="91"/>
        <w:ind w:left="242"/>
        <w:rPr>
          <w:lang w:val="es-US"/>
        </w:rPr>
      </w:pPr>
    </w:p>
    <w:sectPr w:rsidR="00853714" w:rsidRPr="00A60C30" w:rsidSect="005844F2">
      <w:pgSz w:w="13460" w:h="15840"/>
      <w:pgMar w:top="280" w:right="880" w:bottom="540" w:left="6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46"/>
    <w:multiLevelType w:val="hybridMultilevel"/>
    <w:tmpl w:val="1B28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08B6"/>
    <w:multiLevelType w:val="hybridMultilevel"/>
    <w:tmpl w:val="BB787708"/>
    <w:lvl w:ilvl="0" w:tplc="EB5E340E">
      <w:start w:val="1"/>
      <w:numFmt w:val="decimal"/>
      <w:lvlText w:val="%1"/>
      <w:lvlJc w:val="left"/>
      <w:pPr>
        <w:ind w:left="140" w:hanging="167"/>
        <w:jc w:val="left"/>
      </w:pPr>
      <w:rPr>
        <w:rFonts w:ascii="Arial" w:eastAsia="Arial" w:hAnsi="Arial" w:cs="Arial" w:hint="default"/>
        <w:i/>
        <w:w w:val="99"/>
        <w:sz w:val="20"/>
        <w:szCs w:val="20"/>
      </w:rPr>
    </w:lvl>
    <w:lvl w:ilvl="1" w:tplc="66845CF2">
      <w:numFmt w:val="bullet"/>
      <w:lvlText w:val="•"/>
      <w:lvlJc w:val="left"/>
      <w:pPr>
        <w:ind w:left="1324" w:hanging="167"/>
      </w:pPr>
      <w:rPr>
        <w:rFonts w:hint="default"/>
      </w:rPr>
    </w:lvl>
    <w:lvl w:ilvl="2" w:tplc="33081A30">
      <w:numFmt w:val="bullet"/>
      <w:lvlText w:val="•"/>
      <w:lvlJc w:val="left"/>
      <w:pPr>
        <w:ind w:left="2508" w:hanging="167"/>
      </w:pPr>
      <w:rPr>
        <w:rFonts w:hint="default"/>
      </w:rPr>
    </w:lvl>
    <w:lvl w:ilvl="3" w:tplc="03E6E248">
      <w:numFmt w:val="bullet"/>
      <w:lvlText w:val="•"/>
      <w:lvlJc w:val="left"/>
      <w:pPr>
        <w:ind w:left="3692" w:hanging="167"/>
      </w:pPr>
      <w:rPr>
        <w:rFonts w:hint="default"/>
      </w:rPr>
    </w:lvl>
    <w:lvl w:ilvl="4" w:tplc="6EA068A4">
      <w:numFmt w:val="bullet"/>
      <w:lvlText w:val="•"/>
      <w:lvlJc w:val="left"/>
      <w:pPr>
        <w:ind w:left="4876" w:hanging="167"/>
      </w:pPr>
      <w:rPr>
        <w:rFonts w:hint="default"/>
      </w:rPr>
    </w:lvl>
    <w:lvl w:ilvl="5" w:tplc="B3102376">
      <w:numFmt w:val="bullet"/>
      <w:lvlText w:val="•"/>
      <w:lvlJc w:val="left"/>
      <w:pPr>
        <w:ind w:left="6060" w:hanging="167"/>
      </w:pPr>
      <w:rPr>
        <w:rFonts w:hint="default"/>
      </w:rPr>
    </w:lvl>
    <w:lvl w:ilvl="6" w:tplc="CF382832">
      <w:numFmt w:val="bullet"/>
      <w:lvlText w:val="•"/>
      <w:lvlJc w:val="left"/>
      <w:pPr>
        <w:ind w:left="7244" w:hanging="167"/>
      </w:pPr>
      <w:rPr>
        <w:rFonts w:hint="default"/>
      </w:rPr>
    </w:lvl>
    <w:lvl w:ilvl="7" w:tplc="829E6022">
      <w:numFmt w:val="bullet"/>
      <w:lvlText w:val="•"/>
      <w:lvlJc w:val="left"/>
      <w:pPr>
        <w:ind w:left="8428" w:hanging="167"/>
      </w:pPr>
      <w:rPr>
        <w:rFonts w:hint="default"/>
      </w:rPr>
    </w:lvl>
    <w:lvl w:ilvl="8" w:tplc="86C01260">
      <w:numFmt w:val="bullet"/>
      <w:lvlText w:val="•"/>
      <w:lvlJc w:val="left"/>
      <w:pPr>
        <w:ind w:left="9612" w:hanging="1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0A"/>
    <w:rsid w:val="00026E42"/>
    <w:rsid w:val="0021462C"/>
    <w:rsid w:val="002A60E2"/>
    <w:rsid w:val="005665C2"/>
    <w:rsid w:val="005844F2"/>
    <w:rsid w:val="005C13CF"/>
    <w:rsid w:val="006C5904"/>
    <w:rsid w:val="007929DD"/>
    <w:rsid w:val="00853714"/>
    <w:rsid w:val="008A5941"/>
    <w:rsid w:val="00A60C30"/>
    <w:rsid w:val="00A902C0"/>
    <w:rsid w:val="00D4360A"/>
    <w:rsid w:val="00D5484D"/>
    <w:rsid w:val="00F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E74C"/>
  <w15:chartTrackingRefBased/>
  <w15:docId w15:val="{A15F13F8-F756-450A-8ECB-333A273B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6E42"/>
    <w:pPr>
      <w:ind w:left="720"/>
      <w:contextualSpacing/>
    </w:pPr>
  </w:style>
  <w:style w:type="character" w:styleId="Strong">
    <w:name w:val="Strong"/>
    <w:basedOn w:val="DefaultParagraphFont"/>
    <w:uiPriority w:val="22"/>
    <w:qFormat/>
    <w:rsid w:val="00026E42"/>
    <w:rPr>
      <w:b/>
      <w:bCs/>
    </w:rPr>
  </w:style>
  <w:style w:type="paragraph" w:styleId="BodyText">
    <w:name w:val="Body Text"/>
    <w:basedOn w:val="Normal"/>
    <w:link w:val="BodyTextChar"/>
    <w:uiPriority w:val="1"/>
    <w:qFormat/>
    <w:rsid w:val="00A60C30"/>
    <w:pPr>
      <w:widowControl w:val="0"/>
      <w:autoSpaceDE w:val="0"/>
      <w:autoSpaceDN w:val="0"/>
      <w:spacing w:after="0" w:line="240" w:lineRule="auto"/>
      <w:ind w:left="409"/>
    </w:pPr>
    <w:rPr>
      <w:rFonts w:ascii="Arial" w:eastAsia="Arial" w:hAnsi="Arial" w:cs="Arial"/>
      <w:sz w:val="18"/>
      <w:szCs w:val="18"/>
      <w:lang w:val="es-US"/>
    </w:rPr>
  </w:style>
  <w:style w:type="character" w:customStyle="1" w:styleId="BodyTextChar">
    <w:name w:val="Body Text Char"/>
    <w:basedOn w:val="DefaultParagraphFont"/>
    <w:link w:val="BodyText"/>
    <w:uiPriority w:val="1"/>
    <w:rsid w:val="00A60C30"/>
    <w:rPr>
      <w:rFonts w:ascii="Arial" w:eastAsia="Arial" w:hAnsi="Arial" w:cs="Arial"/>
      <w:sz w:val="18"/>
      <w:szCs w:val="18"/>
      <w:lang w:val="es-US"/>
    </w:rPr>
  </w:style>
  <w:style w:type="paragraph" w:styleId="BalloonText">
    <w:name w:val="Balloon Text"/>
    <w:basedOn w:val="Normal"/>
    <w:link w:val="BalloonTextChar"/>
    <w:uiPriority w:val="99"/>
    <w:semiHidden/>
    <w:unhideWhenUsed/>
    <w:rsid w:val="00D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Sanda</dc:creator>
  <cp:keywords/>
  <dc:description/>
  <cp:lastModifiedBy>Patricia Sanda</cp:lastModifiedBy>
  <cp:revision>7</cp:revision>
  <dcterms:created xsi:type="dcterms:W3CDTF">2021-02-11T16:22:00Z</dcterms:created>
  <dcterms:modified xsi:type="dcterms:W3CDTF">2021-02-11T16:31:00Z</dcterms:modified>
</cp:coreProperties>
</file>